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1A" w:rsidRDefault="008D2EB1">
      <w:r w:rsidRPr="008D2EB1">
        <w:drawing>
          <wp:inline distT="0" distB="0" distL="0" distR="0">
            <wp:extent cx="4848225" cy="27432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2EB1" w:rsidRDefault="008D2EB1"/>
    <w:p w:rsidR="008D2EB1" w:rsidRDefault="008D2EB1"/>
    <w:p w:rsidR="008D2EB1" w:rsidRDefault="008D2EB1"/>
    <w:p w:rsidR="008D2EB1" w:rsidRDefault="008D2EB1">
      <w:r w:rsidRPr="008D2EB1"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D2EB1" w:rsidSect="00F3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EB1"/>
    <w:rsid w:val="008D2EB1"/>
    <w:rsid w:val="00974586"/>
    <w:rsid w:val="00F3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teve\Desktop\Copy%20of%20Steve's%20SFQ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Steve\Desktop\Copy%20of%20Steve's%20SFQ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Sheet1!$A$7</c:f>
              <c:strCache>
                <c:ptCount val="1"/>
                <c:pt idx="0">
                  <c:v>Steve's Average </c:v>
                </c:pt>
              </c:strCache>
            </c:strRef>
          </c:tx>
          <c:cat>
            <c:strRef>
              <c:f>Sheet1!$B$6:$D$6</c:f>
              <c:strCache>
                <c:ptCount val="3"/>
                <c:pt idx="0">
                  <c:v>Fall 2011</c:v>
                </c:pt>
                <c:pt idx="1">
                  <c:v>Winter 2011</c:v>
                </c:pt>
                <c:pt idx="2">
                  <c:v>   Fall2010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4.5999999999999996</c:v>
                </c:pt>
                <c:pt idx="1">
                  <c:v>4.6099999999999994</c:v>
                </c:pt>
                <c:pt idx="2">
                  <c:v>4.88</c:v>
                </c:pt>
              </c:numCache>
            </c:numRef>
          </c:val>
        </c:ser>
        <c:ser>
          <c:idx val="1"/>
          <c:order val="1"/>
          <c:tx>
            <c:strRef>
              <c:f>Sheet1!$A$8</c:f>
              <c:strCache>
                <c:ptCount val="1"/>
                <c:pt idx="0">
                  <c:v>Business School Average  </c:v>
                </c:pt>
              </c:strCache>
            </c:strRef>
          </c:tx>
          <c:cat>
            <c:strRef>
              <c:f>Sheet1!$B$6:$D$6</c:f>
              <c:strCache>
                <c:ptCount val="3"/>
                <c:pt idx="0">
                  <c:v>Fall 2011</c:v>
                </c:pt>
                <c:pt idx="1">
                  <c:v>Winter 2011</c:v>
                </c:pt>
                <c:pt idx="2">
                  <c:v>   Fall2010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4.22</c:v>
                </c:pt>
                <c:pt idx="1">
                  <c:v>4.22</c:v>
                </c:pt>
                <c:pt idx="2">
                  <c:v>4.2699999999999996</c:v>
                </c:pt>
              </c:numCache>
            </c:numRef>
          </c:val>
        </c:ser>
        <c:ser>
          <c:idx val="2"/>
          <c:order val="2"/>
          <c:tx>
            <c:strRef>
              <c:f>Sheet1!$A$9</c:f>
              <c:strCache>
                <c:ptCount val="1"/>
                <c:pt idx="0">
                  <c:v>College Average </c:v>
                </c:pt>
              </c:strCache>
            </c:strRef>
          </c:tx>
          <c:cat>
            <c:strRef>
              <c:f>Sheet1!$B$6:$D$6</c:f>
              <c:strCache>
                <c:ptCount val="3"/>
                <c:pt idx="0">
                  <c:v>Fall 2011</c:v>
                </c:pt>
                <c:pt idx="1">
                  <c:v>Winter 2011</c:v>
                </c:pt>
                <c:pt idx="2">
                  <c:v>   Fall2010</c:v>
                </c:pt>
              </c:strCache>
            </c:strRef>
          </c:cat>
          <c:val>
            <c:numRef>
              <c:f>Sheet1!$B$9:$D$9</c:f>
              <c:numCache>
                <c:formatCode>General</c:formatCode>
                <c:ptCount val="3"/>
                <c:pt idx="0">
                  <c:v>4.25</c:v>
                </c:pt>
                <c:pt idx="1">
                  <c:v>4.26</c:v>
                </c:pt>
                <c:pt idx="2">
                  <c:v>4.2300000000000004</c:v>
                </c:pt>
              </c:numCache>
            </c:numRef>
          </c:val>
        </c:ser>
        <c:axId val="127852544"/>
        <c:axId val="127854080"/>
      </c:barChart>
      <c:catAx>
        <c:axId val="127852544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CA"/>
            </a:pPr>
            <a:endParaRPr lang="en-US"/>
          </a:p>
        </c:txPr>
        <c:crossAx val="127854080"/>
        <c:crosses val="autoZero"/>
        <c:auto val="1"/>
        <c:lblAlgn val="ctr"/>
        <c:lblOffset val="100"/>
      </c:catAx>
      <c:valAx>
        <c:axId val="1278540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CA"/>
            </a:pPr>
            <a:endParaRPr lang="en-US"/>
          </a:p>
        </c:txPr>
        <c:crossAx val="12785254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CA"/>
          </a:pPr>
          <a:endParaRPr lang="en-US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1502187226596671E-2"/>
          <c:y val="6.0659813356663754E-2"/>
          <c:w val="0.84936023622047319"/>
          <c:h val="0.732461358996792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Sheet1!$A$11:$A$13</c:f>
              <c:strCache>
                <c:ptCount val="3"/>
                <c:pt idx="0">
                  <c:v>Steve's 2011 Average </c:v>
                </c:pt>
                <c:pt idx="1">
                  <c:v>Business School 2011 Average</c:v>
                </c:pt>
                <c:pt idx="2">
                  <c:v>College 2011 Average </c:v>
                </c:pt>
              </c:strCache>
            </c:strRef>
          </c:cat>
          <c:val>
            <c:numRef>
              <c:f>Sheet1!$B$11:$B$13</c:f>
              <c:numCache>
                <c:formatCode>General</c:formatCode>
                <c:ptCount val="3"/>
                <c:pt idx="0">
                  <c:v>4.6399999999999997</c:v>
                </c:pt>
                <c:pt idx="1">
                  <c:v>3.8899999999999997</c:v>
                </c:pt>
                <c:pt idx="2">
                  <c:v>4.1099999999999994</c:v>
                </c:pt>
              </c:numCache>
            </c:numRef>
          </c:val>
        </c:ser>
        <c:axId val="81146624"/>
        <c:axId val="81148160"/>
      </c:barChart>
      <c:catAx>
        <c:axId val="81146624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CA"/>
            </a:pPr>
            <a:endParaRPr lang="en-US"/>
          </a:p>
        </c:txPr>
        <c:crossAx val="81148160"/>
        <c:crosses val="autoZero"/>
        <c:auto val="1"/>
        <c:lblAlgn val="ctr"/>
        <c:lblOffset val="100"/>
      </c:catAx>
      <c:valAx>
        <c:axId val="811481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CA"/>
            </a:pPr>
            <a:endParaRPr lang="en-US"/>
          </a:p>
        </c:txPr>
        <c:crossAx val="81146624"/>
        <c:crosses val="autoZero"/>
        <c:crossBetween val="between"/>
      </c:valAx>
    </c:plotArea>
    <c:plotVisOnly val="1"/>
  </c:chart>
  <c:externalData r:id="rId1"/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0.65029</cdr:x>
      <cdr:y>0.08681</cdr:y>
    </cdr:from>
    <cdr:to>
      <cdr:x>0.94892</cdr:x>
      <cdr:y>0.25694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52775" y="238125"/>
          <a:ext cx="1447800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400" b="1"/>
            <a:t>Post-</a:t>
          </a:r>
          <a:r>
            <a:rPr lang="en-US" sz="1400" b="1" baseline="0"/>
            <a:t>Secondary Students</a:t>
          </a:r>
          <a:endParaRPr lang="en-US" sz="14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0.52083</cdr:x>
      <cdr:y>0.15625</cdr:y>
    </cdr:from>
    <cdr:to>
      <cdr:x>0.84219</cdr:x>
      <cdr:y>0.26515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381250" y="428625"/>
          <a:ext cx="1469263" cy="29873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2012-06-21T01:20:00Z</dcterms:created>
  <dcterms:modified xsi:type="dcterms:W3CDTF">2012-06-21T01:23:00Z</dcterms:modified>
</cp:coreProperties>
</file>